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24" w:rsidRDefault="00716E5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招远市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金亭岭矿业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有限公司</w:t>
      </w:r>
    </w:p>
    <w:p w:rsidR="00175424" w:rsidRDefault="00716E5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危险废物污染防治信息公开（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2023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年度）</w:t>
      </w:r>
    </w:p>
    <w:p w:rsidR="00175424" w:rsidRDefault="00175424">
      <w:pPr>
        <w:spacing w:line="560" w:lineRule="exact"/>
        <w:jc w:val="center"/>
        <w:rPr>
          <w:szCs w:val="44"/>
        </w:rPr>
      </w:pPr>
    </w:p>
    <w:p w:rsidR="00175424" w:rsidRDefault="00716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招远市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金亭岭矿业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月，注册资金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万元，组织机构代码：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9137068574337920X6</w:t>
      </w:r>
      <w:r>
        <w:rPr>
          <w:rFonts w:ascii="仿宋_GB2312" w:eastAsia="仿宋_GB2312" w:hAnsi="仿宋_GB2312" w:cs="仿宋_GB2312" w:hint="eastAsia"/>
          <w:sz w:val="32"/>
          <w:szCs w:val="32"/>
        </w:rPr>
        <w:t>，法定代表人：杨少河，企业性质：有限责任公司，经营范围：金原矿采选开采加工。企业位于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招远市罗峰街道办事处石门孟家村南，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行政区划属于罗峰办事处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。公司下设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个车队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个选矿车间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个矿区。主要污染防治设施：脉冲布袋除尘器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台，污水处理池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处。本单位所有废水全部循环利用不外排。</w:t>
      </w:r>
    </w:p>
    <w:p w:rsidR="00175424" w:rsidRDefault="00716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Toc6495"/>
      <w:r>
        <w:rPr>
          <w:rFonts w:ascii="仿宋_GB2312" w:eastAsia="仿宋_GB2312" w:hAnsi="仿宋_GB2312" w:cs="仿宋_GB2312" w:hint="eastAsia"/>
          <w:sz w:val="32"/>
          <w:szCs w:val="32"/>
        </w:rPr>
        <w:t>谢家沟矿区位于招远城南西约</w:t>
      </w:r>
      <w:r>
        <w:rPr>
          <w:rFonts w:ascii="仿宋_GB2312" w:eastAsia="仿宋_GB2312" w:hAnsi="仿宋_GB2312" w:cs="仿宋_GB2312" w:hint="eastAsia"/>
          <w:sz w:val="32"/>
          <w:szCs w:val="32"/>
        </w:rPr>
        <w:t>10km</w:t>
      </w:r>
      <w:r>
        <w:rPr>
          <w:rFonts w:ascii="仿宋_GB2312" w:eastAsia="仿宋_GB2312" w:hAnsi="仿宋_GB2312" w:cs="仿宋_GB2312" w:hint="eastAsia"/>
          <w:sz w:val="32"/>
          <w:szCs w:val="32"/>
        </w:rPr>
        <w:t>处的谢家沟村以东，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行政区划属于</w:t>
      </w:r>
      <w:r>
        <w:rPr>
          <w:rFonts w:ascii="仿宋_GB2312" w:eastAsia="仿宋_GB2312" w:hAnsi="仿宋_GB2312" w:cs="仿宋_GB2312" w:hint="eastAsia"/>
          <w:sz w:val="32"/>
          <w:szCs w:val="32"/>
        </w:rPr>
        <w:t>罗峰办事处，</w:t>
      </w:r>
      <w:r>
        <w:rPr>
          <w:rFonts w:ascii="仿宋_GB2312" w:eastAsia="仿宋_GB2312" w:hAnsi="仿宋_GB2312" w:cs="仿宋_GB2312" w:hint="eastAsia"/>
          <w:sz w:val="32"/>
          <w:szCs w:val="32"/>
        </w:rPr>
        <w:t>矿区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16.4696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平方公里，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年，始建于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月正式投产，开采深度由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米至</w:t>
      </w:r>
      <w:r>
        <w:rPr>
          <w:rFonts w:ascii="仿宋_GB2312" w:eastAsia="仿宋_GB2312" w:hAnsi="仿宋_GB2312" w:cs="仿宋_GB2312" w:hint="eastAsia"/>
          <w:sz w:val="32"/>
          <w:szCs w:val="32"/>
        </w:rPr>
        <w:t>-500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米标高，因公益林生态红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线原因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年停产至今。</w:t>
      </w:r>
    </w:p>
    <w:p w:rsidR="00175424" w:rsidRDefault="00716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草沟头</w:t>
      </w:r>
      <w:r>
        <w:rPr>
          <w:rFonts w:ascii="仿宋_GB2312" w:eastAsia="仿宋_GB2312" w:hAnsi="仿宋_GB2312" w:cs="仿宋_GB2312" w:hint="eastAsia"/>
          <w:sz w:val="32"/>
          <w:szCs w:val="32"/>
        </w:rPr>
        <w:t>矿区位于招远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市金岭镇草沟头村</w:t>
      </w:r>
      <w:r>
        <w:rPr>
          <w:rFonts w:ascii="仿宋_GB2312" w:eastAsia="仿宋_GB2312" w:hAnsi="仿宋_GB2312" w:cs="仿宋_GB2312" w:hint="eastAsia"/>
          <w:sz w:val="32"/>
          <w:szCs w:val="32"/>
        </w:rPr>
        <w:t>以东，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行政区划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属于金岭镇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矿区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1.101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平方公里，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日获取安全设施设计批复，当前为基建期。</w:t>
      </w:r>
    </w:p>
    <w:bookmarkEnd w:id="0"/>
    <w:p w:rsidR="00716E51" w:rsidRDefault="00716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716E51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选矿生产工艺为单一浮选工艺。主要设备为破碎机、球磨机、浮选机、压滤机等。</w:t>
      </w:r>
    </w:p>
    <w:p w:rsidR="00175424" w:rsidRDefault="001754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GoBack"/>
      <w:bookmarkEnd w:id="1"/>
    </w:p>
    <w:p w:rsidR="00175424" w:rsidRDefault="00716E51">
      <w:pPr>
        <w:pStyle w:val="Style3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15170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1064"/>
        <w:gridCol w:w="1279"/>
        <w:gridCol w:w="11"/>
        <w:gridCol w:w="822"/>
        <w:gridCol w:w="558"/>
        <w:gridCol w:w="1065"/>
        <w:gridCol w:w="376"/>
        <w:gridCol w:w="710"/>
        <w:gridCol w:w="1122"/>
        <w:gridCol w:w="167"/>
        <w:gridCol w:w="400"/>
        <w:gridCol w:w="599"/>
        <w:gridCol w:w="546"/>
        <w:gridCol w:w="454"/>
        <w:gridCol w:w="166"/>
        <w:gridCol w:w="425"/>
        <w:gridCol w:w="30"/>
        <w:gridCol w:w="711"/>
        <w:gridCol w:w="364"/>
        <w:gridCol w:w="72"/>
        <w:gridCol w:w="231"/>
        <w:gridCol w:w="499"/>
        <w:gridCol w:w="273"/>
        <w:gridCol w:w="251"/>
        <w:gridCol w:w="642"/>
        <w:gridCol w:w="182"/>
        <w:gridCol w:w="255"/>
        <w:gridCol w:w="729"/>
        <w:gridCol w:w="91"/>
        <w:gridCol w:w="1076"/>
      </w:tblGrid>
      <w:tr w:rsidR="00175424">
        <w:trPr>
          <w:trHeight w:val="90"/>
        </w:trPr>
        <w:tc>
          <w:tcPr>
            <w:tcW w:w="15170" w:type="dxa"/>
            <w:gridSpan w:val="30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一般固体废物</w:t>
            </w:r>
          </w:p>
        </w:tc>
      </w:tr>
      <w:tr w:rsidR="00175424"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废物名称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物理特性</w:t>
            </w:r>
          </w:p>
        </w:tc>
        <w:tc>
          <w:tcPr>
            <w:tcW w:w="2445" w:type="dxa"/>
            <w:gridSpan w:val="3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产生工序</w:t>
            </w:r>
          </w:p>
        </w:tc>
        <w:tc>
          <w:tcPr>
            <w:tcW w:w="2775" w:type="dxa"/>
            <w:gridSpan w:val="5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处置去向</w:t>
            </w:r>
          </w:p>
        </w:tc>
        <w:tc>
          <w:tcPr>
            <w:tcW w:w="2190" w:type="dxa"/>
            <w:gridSpan w:val="5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年产生量（吨）</w:t>
            </w:r>
          </w:p>
        </w:tc>
        <w:tc>
          <w:tcPr>
            <w:tcW w:w="2431" w:type="dxa"/>
            <w:gridSpan w:val="8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贮存地点</w:t>
            </w:r>
          </w:p>
        </w:tc>
        <w:tc>
          <w:tcPr>
            <w:tcW w:w="2975" w:type="dxa"/>
            <w:gridSpan w:val="6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责任人</w:t>
            </w:r>
          </w:p>
        </w:tc>
      </w:tr>
      <w:tr w:rsidR="00175424"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尾矿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半固态</w:t>
            </w:r>
          </w:p>
        </w:tc>
        <w:tc>
          <w:tcPr>
            <w:tcW w:w="2445" w:type="dxa"/>
            <w:gridSpan w:val="3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选矿浮选产生</w:t>
            </w:r>
          </w:p>
        </w:tc>
        <w:tc>
          <w:tcPr>
            <w:tcW w:w="2775" w:type="dxa"/>
            <w:gridSpan w:val="5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尾矿库</w:t>
            </w:r>
          </w:p>
        </w:tc>
        <w:tc>
          <w:tcPr>
            <w:tcW w:w="2190" w:type="dxa"/>
            <w:gridSpan w:val="5"/>
            <w:vAlign w:val="center"/>
          </w:tcPr>
          <w:p w:rsidR="00175424" w:rsidRDefault="00716E5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18658.11</w:t>
            </w:r>
          </w:p>
        </w:tc>
        <w:tc>
          <w:tcPr>
            <w:tcW w:w="2431" w:type="dxa"/>
            <w:gridSpan w:val="8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尾矿库</w:t>
            </w:r>
          </w:p>
        </w:tc>
        <w:tc>
          <w:tcPr>
            <w:tcW w:w="2975" w:type="dxa"/>
            <w:gridSpan w:val="6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刘文君</w:t>
            </w:r>
          </w:p>
        </w:tc>
      </w:tr>
      <w:tr w:rsidR="00175424">
        <w:tc>
          <w:tcPr>
            <w:tcW w:w="15170" w:type="dxa"/>
            <w:gridSpan w:val="30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危险废物</w:t>
            </w:r>
          </w:p>
        </w:tc>
      </w:tr>
      <w:tr w:rsidR="00175424"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废物名称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废物代码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有害物质名称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物理特性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危险特性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来源及</w:t>
            </w:r>
          </w:p>
          <w:p w:rsidR="00175424" w:rsidRDefault="00716E51">
            <w:pPr>
              <w:jc w:val="center"/>
            </w:pPr>
            <w:r>
              <w:rPr>
                <w:rFonts w:hint="eastAsia"/>
              </w:rPr>
              <w:t>产生工序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年库存量（吨）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年产生量（吨）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年累计库存（吨）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年转移（处置量）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716E51">
            <w:pPr>
              <w:ind w:leftChars="103" w:left="216"/>
              <w:jc w:val="center"/>
            </w:pPr>
            <w:r>
              <w:rPr>
                <w:rFonts w:hint="eastAsia"/>
              </w:rPr>
              <w:t>去向</w:t>
            </w:r>
          </w:p>
        </w:tc>
      </w:tr>
      <w:tr w:rsidR="00175424">
        <w:trPr>
          <w:trHeight w:val="664"/>
        </w:trPr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废电器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t>900-045-49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钡、铅、溴化</w:t>
            </w:r>
            <w:proofErr w:type="gramStart"/>
            <w:r>
              <w:rPr>
                <w:rFonts w:hint="eastAsia"/>
              </w:rPr>
              <w:t>阻燃物</w:t>
            </w:r>
            <w:proofErr w:type="gramEnd"/>
            <w:r>
              <w:rPr>
                <w:rFonts w:hint="eastAsia"/>
              </w:rPr>
              <w:t>等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t>固态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t>日常办公、生</w:t>
            </w:r>
            <w:r>
              <w:rPr>
                <w:rFonts w:hint="eastAsia"/>
              </w:rPr>
              <w:t>活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175424"/>
        </w:tc>
      </w:tr>
      <w:tr w:rsidR="00175424">
        <w:trPr>
          <w:trHeight w:val="761"/>
        </w:trPr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废油品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t>900-</w:t>
            </w:r>
            <w:r>
              <w:rPr>
                <w:rFonts w:hint="eastAsia"/>
              </w:rPr>
              <w:t>214</w:t>
            </w:r>
            <w:r>
              <w:t>-</w:t>
            </w:r>
            <w:r>
              <w:rPr>
                <w:rFonts w:hint="eastAsia"/>
              </w:rPr>
              <w:t>08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基础油、添加油、杂质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液态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毒性、易燃性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t>车辆、设备检修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1.057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1.057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175424"/>
        </w:tc>
      </w:tr>
      <w:tr w:rsidR="00175424">
        <w:trPr>
          <w:trHeight w:val="656"/>
        </w:trPr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proofErr w:type="gramStart"/>
            <w:r>
              <w:rPr>
                <w:rFonts w:hint="eastAsia"/>
              </w:rPr>
              <w:t>废硒鼓</w:t>
            </w:r>
            <w:proofErr w:type="gramEnd"/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油墨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t>固态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t>日常办公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175424">
            <w:pPr>
              <w:jc w:val="center"/>
            </w:pPr>
          </w:p>
          <w:p w:rsidR="00175424" w:rsidRDefault="00175424"/>
        </w:tc>
      </w:tr>
      <w:tr w:rsidR="00175424">
        <w:trPr>
          <w:trHeight w:val="90"/>
        </w:trPr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废油桶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基础油、添加剂、水、杂质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t>固态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感染性、</w:t>
            </w:r>
            <w:r>
              <w:t>毒性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t>车辆、设备检修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175424">
            <w:pPr>
              <w:jc w:val="center"/>
            </w:pPr>
          </w:p>
          <w:p w:rsidR="00175424" w:rsidRDefault="00175424"/>
          <w:p w:rsidR="00175424" w:rsidRDefault="00175424">
            <w:pPr>
              <w:jc w:val="center"/>
            </w:pPr>
          </w:p>
        </w:tc>
      </w:tr>
      <w:tr w:rsidR="00175424">
        <w:trPr>
          <w:trHeight w:val="983"/>
        </w:trPr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油漆桶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甲醛、</w:t>
            </w:r>
            <w:r>
              <w:rPr>
                <w:rFonts w:hint="eastAsia"/>
              </w:rPr>
              <w:t>VOC</w:t>
            </w:r>
            <w:r>
              <w:rPr>
                <w:rFonts w:hint="eastAsia"/>
              </w:rPr>
              <w:t>（有毒挥发气体）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t>固态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t>毒性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t>车间</w:t>
            </w:r>
            <w:r>
              <w:rPr>
                <w:rFonts w:hint="eastAsia"/>
              </w:rPr>
              <w:t>、矿区</w:t>
            </w:r>
            <w:r>
              <w:t>养护使用油漆产生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175424">
            <w:pPr>
              <w:jc w:val="center"/>
            </w:pPr>
          </w:p>
          <w:p w:rsidR="00175424" w:rsidRDefault="00175424"/>
          <w:p w:rsidR="00175424" w:rsidRDefault="00175424">
            <w:pPr>
              <w:jc w:val="center"/>
            </w:pPr>
          </w:p>
        </w:tc>
      </w:tr>
      <w:tr w:rsidR="00175424">
        <w:trPr>
          <w:trHeight w:val="880"/>
        </w:trPr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废电瓶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r>
              <w:rPr>
                <w:rFonts w:hint="eastAsia"/>
              </w:rPr>
              <w:t>900-052-31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汞、锰、镉、铅、锌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t>固态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t>毒性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车辆检修更换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175424"/>
        </w:tc>
      </w:tr>
      <w:tr w:rsidR="00175424">
        <w:tc>
          <w:tcPr>
            <w:tcW w:w="1064" w:type="dxa"/>
            <w:vAlign w:val="center"/>
          </w:tcPr>
          <w:p w:rsidR="00175424" w:rsidRDefault="00716E51">
            <w:pPr>
              <w:ind w:left="13" w:hangingChars="6" w:hanging="13"/>
              <w:jc w:val="center"/>
            </w:pPr>
            <w:r>
              <w:rPr>
                <w:rFonts w:hint="eastAsia"/>
              </w:rPr>
              <w:t>柴油油水混合物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r>
              <w:rPr>
                <w:rFonts w:hint="eastAsia"/>
              </w:rPr>
              <w:t>900-007-09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烷烃、烯烃、环烷烃、芳香烃、多环芳烃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液态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t>毒性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储油罐清理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045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77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4" w:type="dxa"/>
            <w:gridSpan w:val="4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175424" w:rsidRDefault="00716E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175424"/>
        </w:tc>
      </w:tr>
      <w:tr w:rsidR="00175424">
        <w:trPr>
          <w:trHeight w:val="1309"/>
        </w:trPr>
        <w:tc>
          <w:tcPr>
            <w:tcW w:w="1064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lastRenderedPageBreak/>
              <w:t>固体废物防治应急措施</w:t>
            </w:r>
          </w:p>
        </w:tc>
        <w:tc>
          <w:tcPr>
            <w:tcW w:w="14106" w:type="dxa"/>
            <w:gridSpan w:val="29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ind w:firstLineChars="200" w:firstLine="420"/>
              <w:jc w:val="left"/>
            </w:pPr>
            <w:r>
              <w:rPr>
                <w:rFonts w:hint="eastAsia"/>
              </w:rPr>
              <w:t>危险废物</w:t>
            </w:r>
            <w:proofErr w:type="gramStart"/>
            <w:r>
              <w:rPr>
                <w:rFonts w:hint="eastAsia"/>
              </w:rPr>
              <w:t>暂存间设双人</w:t>
            </w:r>
            <w:proofErr w:type="gramEnd"/>
            <w:r>
              <w:rPr>
                <w:rFonts w:hint="eastAsia"/>
              </w:rPr>
              <w:t>双</w:t>
            </w:r>
            <w:proofErr w:type="gramStart"/>
            <w:r>
              <w:rPr>
                <w:rFonts w:hint="eastAsia"/>
              </w:rPr>
              <w:t>锁管理</w:t>
            </w:r>
            <w:proofErr w:type="gramEnd"/>
            <w:r>
              <w:rPr>
                <w:rFonts w:hint="eastAsia"/>
              </w:rPr>
              <w:t>制度、并有专职人员管理。危险废物暂存</w:t>
            </w:r>
            <w:proofErr w:type="gramStart"/>
            <w:r>
              <w:rPr>
                <w:rFonts w:hint="eastAsia"/>
              </w:rPr>
              <w:t>间严格</w:t>
            </w:r>
            <w:proofErr w:type="gramEnd"/>
            <w:r>
              <w:rPr>
                <w:rFonts w:hint="eastAsia"/>
              </w:rPr>
              <w:t>落实“三防措施”及台</w:t>
            </w:r>
            <w:proofErr w:type="gramStart"/>
            <w:r>
              <w:rPr>
                <w:rFonts w:hint="eastAsia"/>
              </w:rPr>
              <w:t>账管理</w:t>
            </w:r>
            <w:proofErr w:type="gramEnd"/>
            <w:r>
              <w:rPr>
                <w:rFonts w:hint="eastAsia"/>
              </w:rPr>
              <w:t>制度。产生的危险废物与具有收集资质的单位签订危险废物处置合同，</w:t>
            </w:r>
            <w:proofErr w:type="gramStart"/>
            <w:r>
              <w:rPr>
                <w:rFonts w:hint="eastAsia"/>
              </w:rPr>
              <w:t>危废转移</w:t>
            </w:r>
            <w:proofErr w:type="gramEnd"/>
            <w:r>
              <w:rPr>
                <w:rFonts w:hint="eastAsia"/>
              </w:rPr>
              <w:t>时严格落实危险废物联单制度及固体废物危险废物运输制度。为进一步规范固体废物已应急管理机制，最大限度降低因火灾、爆炸或其他意外事故导致的污染防治危险废物泄露对环境的危害，根据国家法律及有关规定制定“突发环境事件应急预案”和“尾矿库突发环境事件应急预案”，遇到突发情况积极响应预应急</w:t>
            </w:r>
            <w:proofErr w:type="gramStart"/>
            <w:r>
              <w:rPr>
                <w:rFonts w:hint="eastAsia"/>
              </w:rPr>
              <w:t>措施案</w:t>
            </w:r>
            <w:proofErr w:type="gramEnd"/>
            <w:r>
              <w:rPr>
                <w:rFonts w:hint="eastAsia"/>
              </w:rPr>
              <w:t>措施。</w:t>
            </w:r>
          </w:p>
        </w:tc>
      </w:tr>
      <w:tr w:rsidR="00175424">
        <w:tc>
          <w:tcPr>
            <w:tcW w:w="1064" w:type="dxa"/>
            <w:vMerge w:val="restart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突发事件应急联系方式</w:t>
            </w:r>
          </w:p>
        </w:tc>
        <w:tc>
          <w:tcPr>
            <w:tcW w:w="2112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主要负责人</w:t>
            </w:r>
          </w:p>
        </w:tc>
        <w:tc>
          <w:tcPr>
            <w:tcW w:w="1999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9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具体负责</w:t>
            </w:r>
            <w:r>
              <w:rPr>
                <w:rFonts w:hint="eastAsia"/>
              </w:rPr>
              <w:t>人</w:t>
            </w:r>
          </w:p>
        </w:tc>
        <w:tc>
          <w:tcPr>
            <w:tcW w:w="1999" w:type="dxa"/>
            <w:gridSpan w:val="4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9" w:type="dxa"/>
            <w:gridSpan w:val="7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公司值班电话</w:t>
            </w:r>
          </w:p>
        </w:tc>
        <w:tc>
          <w:tcPr>
            <w:tcW w:w="2102" w:type="dxa"/>
            <w:gridSpan w:val="6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175424">
        <w:tc>
          <w:tcPr>
            <w:tcW w:w="1064" w:type="dxa"/>
            <w:vMerge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proofErr w:type="gramStart"/>
            <w:r>
              <w:rPr>
                <w:rFonts w:hint="eastAsia"/>
              </w:rPr>
              <w:t>杨少河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13780980698</w:t>
            </w:r>
          </w:p>
        </w:tc>
        <w:tc>
          <w:tcPr>
            <w:tcW w:w="1999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proofErr w:type="gramStart"/>
            <w:r>
              <w:rPr>
                <w:rFonts w:hint="eastAsia"/>
              </w:rPr>
              <w:t>迟玉亭</w:t>
            </w:r>
            <w:proofErr w:type="gramEnd"/>
          </w:p>
        </w:tc>
        <w:tc>
          <w:tcPr>
            <w:tcW w:w="1999" w:type="dxa"/>
            <w:gridSpan w:val="4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13589800686</w:t>
            </w:r>
          </w:p>
        </w:tc>
        <w:tc>
          <w:tcPr>
            <w:tcW w:w="1999" w:type="dxa"/>
            <w:gridSpan w:val="7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0535-8158093</w:t>
            </w:r>
          </w:p>
        </w:tc>
        <w:tc>
          <w:tcPr>
            <w:tcW w:w="2102" w:type="dxa"/>
            <w:gridSpan w:val="6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孙刚</w:t>
            </w:r>
          </w:p>
        </w:tc>
        <w:tc>
          <w:tcPr>
            <w:tcW w:w="189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18561065890</w:t>
            </w:r>
          </w:p>
        </w:tc>
      </w:tr>
      <w:tr w:rsidR="00175424">
        <w:tc>
          <w:tcPr>
            <w:tcW w:w="1064" w:type="dxa"/>
            <w:vMerge w:val="restart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应急救援电话</w:t>
            </w:r>
          </w:p>
        </w:tc>
        <w:tc>
          <w:tcPr>
            <w:tcW w:w="1290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机关单位</w:t>
            </w:r>
          </w:p>
        </w:tc>
        <w:tc>
          <w:tcPr>
            <w:tcW w:w="1380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机关单位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9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机关单位</w:t>
            </w:r>
          </w:p>
        </w:tc>
        <w:tc>
          <w:tcPr>
            <w:tcW w:w="1145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75" w:type="dxa"/>
            <w:gridSpan w:val="4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机关单位</w:t>
            </w:r>
          </w:p>
        </w:tc>
        <w:tc>
          <w:tcPr>
            <w:tcW w:w="1075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75" w:type="dxa"/>
            <w:gridSpan w:val="4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机关单位</w:t>
            </w:r>
          </w:p>
        </w:tc>
        <w:tc>
          <w:tcPr>
            <w:tcW w:w="1075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75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机关单位</w:t>
            </w:r>
          </w:p>
        </w:tc>
        <w:tc>
          <w:tcPr>
            <w:tcW w:w="1076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175424">
        <w:trPr>
          <w:trHeight w:val="1248"/>
        </w:trPr>
        <w:tc>
          <w:tcPr>
            <w:tcW w:w="1064" w:type="dxa"/>
            <w:vMerge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  <w:tc>
          <w:tcPr>
            <w:tcW w:w="1279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消防火警</w:t>
            </w:r>
          </w:p>
        </w:tc>
        <w:tc>
          <w:tcPr>
            <w:tcW w:w="1391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医疗急救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122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招远市</w:t>
            </w:r>
            <w:proofErr w:type="gramStart"/>
            <w:r>
              <w:rPr>
                <w:rFonts w:hint="eastAsia"/>
              </w:rPr>
              <w:t>应急局</w:t>
            </w:r>
            <w:proofErr w:type="gramEnd"/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0535-8215230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招远市人民医院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0535-8214561</w:t>
            </w:r>
          </w:p>
        </w:tc>
        <w:tc>
          <w:tcPr>
            <w:tcW w:w="1166" w:type="dxa"/>
            <w:gridSpan w:val="4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金都救护队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0535-8129969</w:t>
            </w:r>
          </w:p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0535-8125566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烟台鲁</w:t>
            </w:r>
            <w:proofErr w:type="gramStart"/>
            <w:r>
              <w:rPr>
                <w:rFonts w:hint="eastAsia"/>
              </w:rPr>
              <w:t>东分析</w:t>
            </w:r>
            <w:proofErr w:type="gramEnd"/>
            <w:r>
              <w:rPr>
                <w:rFonts w:hint="eastAsia"/>
              </w:rPr>
              <w:t>测试有限公司</w:t>
            </w:r>
          </w:p>
        </w:tc>
        <w:tc>
          <w:tcPr>
            <w:tcW w:w="1167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0535-8138036</w:t>
            </w:r>
          </w:p>
        </w:tc>
      </w:tr>
      <w:tr w:rsidR="00175424">
        <w:trPr>
          <w:trHeight w:val="1248"/>
        </w:trPr>
        <w:tc>
          <w:tcPr>
            <w:tcW w:w="1064" w:type="dxa"/>
            <w:vMerge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  <w:tc>
          <w:tcPr>
            <w:tcW w:w="1279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治安报警</w:t>
            </w:r>
          </w:p>
        </w:tc>
        <w:tc>
          <w:tcPr>
            <w:tcW w:w="1391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交通事故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122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proofErr w:type="gramStart"/>
            <w:r>
              <w:rPr>
                <w:rFonts w:hint="eastAsia"/>
              </w:rPr>
              <w:t>招金矿业</w:t>
            </w:r>
            <w:proofErr w:type="gramEnd"/>
            <w:r>
              <w:rPr>
                <w:rFonts w:hint="eastAsia"/>
              </w:rPr>
              <w:t>安环部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0535-8266001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招远市人民医院急诊科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0535-8241051</w:t>
            </w:r>
          </w:p>
        </w:tc>
        <w:tc>
          <w:tcPr>
            <w:tcW w:w="1166" w:type="dxa"/>
            <w:gridSpan w:val="4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山东省非煤矿山鲁东安全生产应急救援中心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0535-8650772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</w:tr>
      <w:tr w:rsidR="00175424">
        <w:trPr>
          <w:trHeight w:val="993"/>
        </w:trPr>
        <w:tc>
          <w:tcPr>
            <w:tcW w:w="1064" w:type="dxa"/>
            <w:vMerge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  <w:tc>
          <w:tcPr>
            <w:tcW w:w="1279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医疗急救</w:t>
            </w:r>
          </w:p>
        </w:tc>
        <w:tc>
          <w:tcPr>
            <w:tcW w:w="1391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065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烟台市环保局</w:t>
            </w:r>
          </w:p>
        </w:tc>
        <w:tc>
          <w:tcPr>
            <w:tcW w:w="1086" w:type="dxa"/>
            <w:gridSpan w:val="2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0535-6920576</w:t>
            </w:r>
          </w:p>
        </w:tc>
        <w:tc>
          <w:tcPr>
            <w:tcW w:w="1122" w:type="dxa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proofErr w:type="gramStart"/>
            <w:r>
              <w:rPr>
                <w:rFonts w:hint="eastAsia"/>
              </w:rPr>
              <w:t>招金集团</w:t>
            </w:r>
            <w:proofErr w:type="gramEnd"/>
            <w:r>
              <w:rPr>
                <w:rFonts w:hint="eastAsia"/>
              </w:rPr>
              <w:t>安环部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0535-8227555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招远市应急救援指挥中心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0535-8129669</w:t>
            </w:r>
          </w:p>
        </w:tc>
        <w:tc>
          <w:tcPr>
            <w:tcW w:w="1166" w:type="dxa"/>
            <w:gridSpan w:val="4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招远市消防大队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716E51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  <w:r>
              <w:rPr>
                <w:rFonts w:hint="eastAsia"/>
              </w:rPr>
              <w:t>0535-8111750</w:t>
            </w:r>
          </w:p>
        </w:tc>
        <w:tc>
          <w:tcPr>
            <w:tcW w:w="1166" w:type="dxa"/>
            <w:gridSpan w:val="3"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175424" w:rsidRDefault="00175424">
            <w:pPr>
              <w:tabs>
                <w:tab w:val="left" w:pos="1548"/>
                <w:tab w:val="left" w:pos="2692"/>
                <w:tab w:val="left" w:pos="3738"/>
                <w:tab w:val="left" w:pos="4690"/>
                <w:tab w:val="left" w:pos="5926"/>
                <w:tab w:val="left" w:pos="7996"/>
                <w:tab w:val="left" w:pos="9226"/>
                <w:tab w:val="left" w:pos="11112"/>
              </w:tabs>
              <w:jc w:val="center"/>
            </w:pPr>
          </w:p>
        </w:tc>
      </w:tr>
    </w:tbl>
    <w:p w:rsidR="00175424" w:rsidRDefault="00175424">
      <w:pPr>
        <w:tabs>
          <w:tab w:val="left" w:pos="1548"/>
          <w:tab w:val="left" w:pos="2692"/>
          <w:tab w:val="left" w:pos="3738"/>
          <w:tab w:val="left" w:pos="4690"/>
          <w:tab w:val="left" w:pos="5926"/>
          <w:tab w:val="left" w:pos="7996"/>
          <w:tab w:val="left" w:pos="9226"/>
          <w:tab w:val="left" w:pos="11112"/>
        </w:tabs>
        <w:spacing w:line="20" w:lineRule="exact"/>
      </w:pPr>
    </w:p>
    <w:sectPr w:rsidR="0017542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GQ4YmJiZDQzY2VhMWNlODU1ODFiYzQ0ZjRjYmQifQ=="/>
  </w:docVars>
  <w:rsids>
    <w:rsidRoot w:val="39B70070"/>
    <w:rsid w:val="000560F1"/>
    <w:rsid w:val="00175424"/>
    <w:rsid w:val="00716E51"/>
    <w:rsid w:val="009705DF"/>
    <w:rsid w:val="058351DA"/>
    <w:rsid w:val="0E644AEB"/>
    <w:rsid w:val="11941AD2"/>
    <w:rsid w:val="13403003"/>
    <w:rsid w:val="1C26373D"/>
    <w:rsid w:val="2560701B"/>
    <w:rsid w:val="31617A0C"/>
    <w:rsid w:val="37085C47"/>
    <w:rsid w:val="39B70070"/>
    <w:rsid w:val="40367605"/>
    <w:rsid w:val="4281690F"/>
    <w:rsid w:val="4C6F27D2"/>
    <w:rsid w:val="5352185C"/>
    <w:rsid w:val="56CA3AA1"/>
    <w:rsid w:val="58F30934"/>
    <w:rsid w:val="7DC5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CA1FFF-2801-4D57-B5E8-DBE60016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</dc:creator>
  <cp:lastModifiedBy>zhaojin</cp:lastModifiedBy>
  <cp:revision>4</cp:revision>
  <cp:lastPrinted>2022-03-07T02:07:00Z</cp:lastPrinted>
  <dcterms:created xsi:type="dcterms:W3CDTF">2021-04-09T03:14:00Z</dcterms:created>
  <dcterms:modified xsi:type="dcterms:W3CDTF">2023-05-16T01:26:00Z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502D59DA119C457AA9DCBB12DE754DA9</vt:lpwstr>
  </property>
</Properties>
</file>